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keepNext/>
        <w:spacing w:before="0" w:after="0"/>
        <w:ind w:firstLine="567"/>
        <w:jc w:val="center"/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>Дело № 2-</w:t>
      </w:r>
      <w:r>
        <w:rPr>
          <w:rFonts w:ascii="Times New Roman" w:eastAsia="Times New Roman" w:hAnsi="Times New Roman" w:cs="Times New Roman"/>
        </w:rPr>
        <w:t>5558</w:t>
      </w:r>
      <w:r>
        <w:rPr>
          <w:rFonts w:ascii="Times New Roman" w:eastAsia="Times New Roman" w:hAnsi="Times New Roman" w:cs="Times New Roman"/>
        </w:rPr>
        <w:t>-26</w:t>
      </w:r>
      <w:r>
        <w:rPr>
          <w:rFonts w:ascii="Times New Roman" w:eastAsia="Times New Roman" w:hAnsi="Times New Roman" w:cs="Times New Roman"/>
        </w:rPr>
        <w:t>10</w:t>
      </w:r>
      <w:r>
        <w:rPr>
          <w:rFonts w:ascii="Times New Roman" w:eastAsia="Times New Roman" w:hAnsi="Times New Roman" w:cs="Times New Roman"/>
        </w:rPr>
        <w:t>/</w:t>
      </w:r>
      <w:r>
        <w:rPr>
          <w:rFonts w:ascii="Times New Roman" w:eastAsia="Times New Roman" w:hAnsi="Times New Roman" w:cs="Times New Roman"/>
        </w:rPr>
        <w:t>20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>6</w:t>
      </w:r>
    </w:p>
    <w:p>
      <w:pPr>
        <w:keepNext/>
        <w:spacing w:before="0" w:after="0"/>
        <w:ind w:firstLine="567"/>
        <w:jc w:val="center"/>
        <w:rPr>
          <w:sz w:val="27"/>
          <w:szCs w:val="27"/>
        </w:rPr>
      </w:pPr>
    </w:p>
    <w:p>
      <w:pPr>
        <w:keepNext/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РЕШЕНИЕ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ИМЕНЕМ РОССИЙСКОЙ ФЕДЕРАЦИИ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(резолютивная часть)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>20 августа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</w:p>
    <w:p>
      <w:pPr>
        <w:spacing w:before="0" w:after="0"/>
        <w:ind w:firstLine="567"/>
        <w:jc w:val="both"/>
        <w:rPr>
          <w:sz w:val="28"/>
          <w:szCs w:val="28"/>
        </w:rPr>
      </w:pP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8"/>
          <w:szCs w:val="28"/>
        </w:rPr>
        <w:t>Король Е.П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при секретаре </w:t>
      </w:r>
      <w:r>
        <w:rPr>
          <w:rFonts w:ascii="Times New Roman" w:eastAsia="Times New Roman" w:hAnsi="Times New Roman" w:cs="Times New Roman"/>
          <w:sz w:val="28"/>
          <w:szCs w:val="28"/>
        </w:rPr>
        <w:t>Солодовниковой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Л.Н.,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рассмотрев в открытом судебном заседании гражданское дело по исковому заявлению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городского муниципального унитарного предприятия «Городские тепловые сети» к </w:t>
      </w:r>
      <w:r>
        <w:rPr>
          <w:rFonts w:ascii="Times New Roman" w:eastAsia="Times New Roman" w:hAnsi="Times New Roman" w:cs="Times New Roman"/>
          <w:sz w:val="28"/>
          <w:szCs w:val="28"/>
        </w:rPr>
        <w:t>Блинову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Валерию Владимировичу, Михайловой Розалии </w:t>
      </w:r>
      <w:r>
        <w:rPr>
          <w:rFonts w:ascii="Times New Roman" w:eastAsia="Times New Roman" w:hAnsi="Times New Roman" w:cs="Times New Roman"/>
          <w:sz w:val="28"/>
          <w:szCs w:val="28"/>
        </w:rPr>
        <w:t>Рифовне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 взыскании задолженности по оплате коммунальных услуг,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</w:t>
      </w:r>
      <w:r>
        <w:rPr>
          <w:rFonts w:ascii="Times New Roman" w:eastAsia="Times New Roman" w:hAnsi="Times New Roman" w:cs="Times New Roman"/>
          <w:sz w:val="28"/>
          <w:szCs w:val="28"/>
        </w:rPr>
        <w:t>ст.ст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167, 194-199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Гражданского процессуального кодекса Российской Федерации, 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решил: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исков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ое заявление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городского муниципального унитарного предприятия «Городские тепловые сети» – удовлетворить.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Взыскать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солидарном порядке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eastAsia="Times New Roman" w:hAnsi="Times New Roman" w:cs="Times New Roman"/>
          <w:sz w:val="28"/>
          <w:szCs w:val="28"/>
        </w:rPr>
        <w:t>Блинов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Валери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Владимирович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 </w:t>
      </w:r>
      <w:r>
        <w:rPr>
          <w:rStyle w:val="cat-UserDefinedgrp-29rplc-10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Михайловой Розалии </w:t>
      </w:r>
      <w:r>
        <w:rPr>
          <w:rFonts w:ascii="Times New Roman" w:eastAsia="Times New Roman" w:hAnsi="Times New Roman" w:cs="Times New Roman"/>
          <w:sz w:val="28"/>
          <w:szCs w:val="28"/>
        </w:rPr>
        <w:t>Рифовн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30rplc-15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пользу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городского муниципального унитарного предприятия «Городские тепловые сети» </w:t>
      </w:r>
      <w:r>
        <w:rPr>
          <w:rStyle w:val="cat-UserDefinedgrp-31rplc-20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адолженность по оплате коммунальной услуги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(тепловая энергия на нужды отопления и/или тепловая энергия для подогрева холодной воды для нужд горячего водоснабжения и/или холодная вода для нужд горячего водоснабжения)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период с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01.01.2024 года по 31.05.2024 года, с 01.11.2024 года по 30.06.2025 года, с 01.08.2025 года по 30.09.2025 года в размере </w:t>
      </w:r>
      <w:r>
        <w:rPr>
          <w:rStyle w:val="cat-Sumgrp-17rplc-28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пени за просрочку оплаты, начисленные за период просрочки с </w:t>
      </w:r>
      <w:r>
        <w:rPr>
          <w:rFonts w:ascii="Times New Roman" w:eastAsia="Times New Roman" w:hAnsi="Times New Roman" w:cs="Times New Roman"/>
          <w:sz w:val="28"/>
          <w:szCs w:val="28"/>
        </w:rPr>
        <w:t>13.02.2024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 по </w:t>
      </w:r>
      <w:r>
        <w:rPr>
          <w:rFonts w:ascii="Times New Roman" w:eastAsia="Times New Roman" w:hAnsi="Times New Roman" w:cs="Times New Roman"/>
          <w:sz w:val="28"/>
          <w:szCs w:val="28"/>
        </w:rPr>
        <w:t>09.06.2026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размере </w:t>
      </w:r>
      <w:r>
        <w:rPr>
          <w:rStyle w:val="cat-Sumgrp-18rplc-31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 последующим их начислением на сумму основного долга </w:t>
      </w:r>
      <w:r>
        <w:rPr>
          <w:rStyle w:val="cat-Sumgrp-17rplc-32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день фактической оплаты долга с учетом 1/130 ставки рефинансирования Центрального банка РФ, действующей на день фактической оплаты, за каждый день неисполнения денежного обязательства, </w:t>
      </w:r>
      <w:r>
        <w:rPr>
          <w:rFonts w:ascii="Times New Roman" w:eastAsia="Times New Roman" w:hAnsi="Times New Roman" w:cs="Times New Roman"/>
          <w:sz w:val="28"/>
          <w:szCs w:val="28"/>
        </w:rPr>
        <w:t>а также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расходы по уплате государственной пошлины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равных долях на общую сумму </w:t>
      </w:r>
      <w:r>
        <w:rPr>
          <w:rStyle w:val="cat-Sumgrp-19rplc-34"/>
          <w:rFonts w:ascii="Times New Roman" w:eastAsia="Times New Roman" w:hAnsi="Times New Roman" w:cs="Times New Roman"/>
          <w:sz w:val="28"/>
          <w:szCs w:val="28"/>
        </w:rPr>
        <w:t>сумма</w:t>
      </w:r>
    </w:p>
    <w:p>
      <w:pPr>
        <w:spacing w:before="0" w:after="0" w:line="310" w:lineRule="atLeast"/>
        <w:ind w:firstLine="708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Разъяснить сторонам, что заявление о составлении мотивированного решения суда может быть подано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Решение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городской суд Ханты-Мансийского автономного округа-Югры в течение месяца со дня принятия решения суда в окончательной форме, путём подачи апелляционной жалобы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через </w:t>
      </w:r>
      <w:r>
        <w:rPr>
          <w:rFonts w:ascii="Times New Roman" w:eastAsia="Times New Roman" w:hAnsi="Times New Roman" w:cs="Times New Roman"/>
          <w:sz w:val="28"/>
          <w:szCs w:val="28"/>
        </w:rPr>
        <w:t>мирового судью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10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Ханты-Мансийского автономного округа – Югры</w:t>
      </w:r>
    </w:p>
    <w:p>
      <w:pPr>
        <w:spacing w:before="0" w:after="0"/>
        <w:ind w:firstLine="708"/>
        <w:jc w:val="both"/>
        <w:rPr>
          <w:sz w:val="28"/>
          <w:szCs w:val="28"/>
        </w:rPr>
      </w:pP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Король Е.П.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КОПИЯ ВЕРНА </w:t>
      </w:r>
      <w:r>
        <w:rPr>
          <w:rFonts w:ascii="Times New Roman" w:eastAsia="Times New Roman" w:hAnsi="Times New Roman" w:cs="Times New Roman"/>
        </w:rPr>
        <w:t>20 августа</w:t>
      </w:r>
      <w:r>
        <w:rPr>
          <w:rFonts w:ascii="Times New Roman" w:eastAsia="Times New Roman" w:hAnsi="Times New Roman" w:cs="Times New Roman"/>
        </w:rPr>
        <w:t xml:space="preserve"> 2026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г</w:t>
      </w:r>
      <w:r>
        <w:rPr>
          <w:rFonts w:ascii="Times New Roman" w:eastAsia="Times New Roman" w:hAnsi="Times New Roman" w:cs="Times New Roman"/>
        </w:rPr>
        <w:t>ода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Мировой судья судебного участка №</w:t>
      </w:r>
      <w:r>
        <w:rPr>
          <w:rFonts w:ascii="Times New Roman" w:eastAsia="Times New Roman" w:hAnsi="Times New Roman" w:cs="Times New Roman"/>
        </w:rPr>
        <w:t>10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Сургутского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судебного района города окружного значения Сургута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ХМАО-Югры ______________________ </w:t>
      </w:r>
      <w:r>
        <w:rPr>
          <w:rFonts w:ascii="Times New Roman" w:eastAsia="Times New Roman" w:hAnsi="Times New Roman" w:cs="Times New Roman"/>
        </w:rPr>
        <w:t>Король Е.П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Подлинный документ находится в деле № 2-</w:t>
      </w:r>
      <w:r>
        <w:rPr>
          <w:rFonts w:ascii="Times New Roman" w:eastAsia="Times New Roman" w:hAnsi="Times New Roman" w:cs="Times New Roman"/>
        </w:rPr>
        <w:t>5558</w:t>
      </w:r>
      <w:r>
        <w:rPr>
          <w:rFonts w:ascii="Times New Roman" w:eastAsia="Times New Roman" w:hAnsi="Times New Roman" w:cs="Times New Roman"/>
        </w:rPr>
        <w:t>-26</w:t>
      </w:r>
      <w:r>
        <w:rPr>
          <w:rFonts w:ascii="Times New Roman" w:eastAsia="Times New Roman" w:hAnsi="Times New Roman" w:cs="Times New Roman"/>
        </w:rPr>
        <w:t>10</w:t>
      </w:r>
      <w:r>
        <w:rPr>
          <w:rFonts w:ascii="Times New Roman" w:eastAsia="Times New Roman" w:hAnsi="Times New Roman" w:cs="Times New Roman"/>
        </w:rPr>
        <w:t>/202</w:t>
      </w:r>
      <w:r>
        <w:rPr>
          <w:rFonts w:ascii="Times New Roman" w:eastAsia="Times New Roman" w:hAnsi="Times New Roman" w:cs="Times New Roman"/>
        </w:rPr>
        <w:t>6</w:t>
      </w:r>
    </w:p>
    <w:p>
      <w:pPr>
        <w:spacing w:before="0" w:after="160" w:line="259" w:lineRule="auto"/>
        <w:rPr>
          <w:sz w:val="22"/>
          <w:szCs w:val="22"/>
        </w:rPr>
      </w:pPr>
    </w:p>
    <w:p>
      <w:pPr>
        <w:spacing w:before="0" w:after="0"/>
        <w:ind w:firstLine="720"/>
        <w:jc w:val="both"/>
        <w:rPr>
          <w:sz w:val="28"/>
          <w:szCs w:val="28"/>
        </w:rPr>
      </w:pPr>
    </w:p>
    <w:p>
      <w:pPr>
        <w:spacing w:before="0" w:after="0"/>
        <w:ind w:firstLine="720"/>
        <w:jc w:val="both"/>
        <w:rPr>
          <w:sz w:val="28"/>
          <w:szCs w:val="28"/>
        </w:rPr>
      </w:pPr>
    </w:p>
    <w:p>
      <w:pPr>
        <w:spacing w:before="0" w:after="0"/>
        <w:ind w:firstLine="720"/>
        <w:jc w:val="both"/>
        <w:rPr>
          <w:sz w:val="28"/>
          <w:szCs w:val="28"/>
        </w:rPr>
      </w:pPr>
    </w:p>
    <w:p>
      <w:pPr>
        <w:spacing w:before="0" w:after="0"/>
        <w:ind w:firstLine="720"/>
        <w:jc w:val="both"/>
        <w:rPr>
          <w:sz w:val="28"/>
          <w:szCs w:val="28"/>
        </w:rPr>
      </w:pPr>
    </w:p>
    <w:sectPr>
      <w:footerReference w:type="default" r:id="rId4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61356345"/>
      <w:placeholder>
        <w:docPart w:val="DefaultPlaceholder_22675703"/>
      </w:placeholder>
      <w:showingPlcHdr/>
      <w:richText/>
    </w:sdtPr>
    <w:sdtContent>
      <w:p>
        <w:pPr>
          <w:spacing w:before="0" w:after="0"/>
          <w:jc w:val="right"/>
          <w:rPr>
            <w:sz w:val="22"/>
            <w:szCs w:val="22"/>
          </w:rPr>
        </w:pPr>
        <w:r>
          <w:rPr>
            <w:sz w:val="22"/>
            <w:szCs w:val="22"/>
          </w:rPr>
          <w:fldChar w:fldCharType="begin"/>
        </w:r>
        <w:r>
          <w:rPr>
            <w:sz w:val="22"/>
            <w:szCs w:val="22"/>
          </w:rPr>
          <w:instrText>PAGE   \* MERGEFORMAT</w:instrText>
        </w:r>
        <w:r>
          <w:rPr>
            <w:sz w:val="22"/>
            <w:szCs w:val="22"/>
          </w:rPr>
          <w:fldChar w:fldCharType="separate"/>
        </w:r>
        <w:r>
          <w:rPr>
            <w:rFonts w:ascii="Calibri" w:eastAsia="Calibri" w:hAnsi="Calibri" w:cs="Calibri"/>
            <w:sz w:val="22"/>
            <w:szCs w:val="22"/>
          </w:rPr>
          <w:t>1</w:t>
        </w:r>
        <w:r>
          <w:rPr>
            <w:rFonts w:ascii="Calibri" w:eastAsia="Calibri" w:hAnsi="Calibri" w:cs="Calibri"/>
            <w:sz w:val="22"/>
            <w:szCs w:val="22"/>
          </w:rPr>
          <w:fldChar w:fldCharType="end"/>
        </w:r>
      </w:p>
    </w:sdtContent>
  </w:sdt>
  <w:p>
    <w:pPr>
      <w:spacing w:before="0" w:after="0"/>
      <w:rPr>
        <w:sz w:val="22"/>
        <w:szCs w:val="22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9rplc-10">
    <w:name w:val="cat-UserDefined grp-29 rplc-10"/>
    <w:basedOn w:val="DefaultParagraphFont"/>
  </w:style>
  <w:style w:type="character" w:customStyle="1" w:styleId="cat-UserDefinedgrp-30rplc-15">
    <w:name w:val="cat-UserDefined grp-30 rplc-15"/>
    <w:basedOn w:val="DefaultParagraphFont"/>
  </w:style>
  <w:style w:type="character" w:customStyle="1" w:styleId="cat-UserDefinedgrp-31rplc-20">
    <w:name w:val="cat-UserDefined grp-31 rplc-20"/>
    <w:basedOn w:val="DefaultParagraphFont"/>
  </w:style>
  <w:style w:type="character" w:customStyle="1" w:styleId="cat-Sumgrp-17rplc-28">
    <w:name w:val="cat-Sum grp-17 rplc-28"/>
    <w:basedOn w:val="DefaultParagraphFont"/>
  </w:style>
  <w:style w:type="character" w:customStyle="1" w:styleId="cat-Sumgrp-18rplc-31">
    <w:name w:val="cat-Sum grp-18 rplc-31"/>
    <w:basedOn w:val="DefaultParagraphFont"/>
  </w:style>
  <w:style w:type="character" w:customStyle="1" w:styleId="cat-Sumgrp-17rplc-32">
    <w:name w:val="cat-Sum grp-17 rplc-32"/>
    <w:basedOn w:val="DefaultParagraphFont"/>
  </w:style>
  <w:style w:type="character" w:customStyle="1" w:styleId="cat-Sumgrp-19rplc-34">
    <w:name w:val="cat-Sum grp-19 rplc-34"/>
    <w:basedOn w:val="DefaultParagraphFont"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glossaryDocument" Target="glossary/document.xml" /><Relationship Id="rId6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4070EA-7A2A-4FD1-9CB5-B22C22697DC0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